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B29E" w14:textId="77777777" w:rsidR="00226237" w:rsidRPr="00226237" w:rsidRDefault="00226237" w:rsidP="00226237">
      <w:pPr>
        <w:jc w:val="center"/>
      </w:pPr>
      <w:r w:rsidRPr="00226237">
        <w:rPr>
          <w:noProof/>
        </w:rPr>
        <w:drawing>
          <wp:inline distT="0" distB="0" distL="0" distR="0" wp14:anchorId="42321295" wp14:editId="15FFB6EC">
            <wp:extent cx="1792605" cy="883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792605" cy="883920"/>
                    </a:xfrm>
                    <a:prstGeom prst="rect">
                      <a:avLst/>
                    </a:prstGeom>
                  </pic:spPr>
                </pic:pic>
              </a:graphicData>
            </a:graphic>
          </wp:inline>
        </w:drawing>
      </w:r>
    </w:p>
    <w:p w14:paraId="3E8A0661" w14:textId="77777777" w:rsidR="00226237" w:rsidRPr="00226237" w:rsidRDefault="00226237" w:rsidP="00226237">
      <w:pPr>
        <w:rPr>
          <w:b/>
          <w:bCs/>
        </w:rPr>
      </w:pPr>
    </w:p>
    <w:p w14:paraId="50238CCE" w14:textId="5AE14891" w:rsidR="00226237" w:rsidRPr="00226237" w:rsidRDefault="00226237" w:rsidP="00226237">
      <w:pPr>
        <w:jc w:val="center"/>
        <w:rPr>
          <w:b/>
          <w:bCs/>
          <w:sz w:val="28"/>
          <w:szCs w:val="28"/>
        </w:rPr>
      </w:pPr>
      <w:r w:rsidRPr="00226237">
        <w:rPr>
          <w:b/>
          <w:bCs/>
          <w:sz w:val="28"/>
          <w:szCs w:val="28"/>
        </w:rPr>
        <w:t>Terms of reference</w:t>
      </w:r>
    </w:p>
    <w:p w14:paraId="7EDDA54E" w14:textId="0004F653" w:rsidR="00226237" w:rsidRPr="00226237" w:rsidRDefault="00226237" w:rsidP="00226237">
      <w:pPr>
        <w:jc w:val="center"/>
        <w:rPr>
          <w:b/>
          <w:bCs/>
          <w:sz w:val="28"/>
          <w:szCs w:val="28"/>
        </w:rPr>
      </w:pPr>
      <w:r w:rsidRPr="00226237">
        <w:rPr>
          <w:b/>
          <w:bCs/>
          <w:sz w:val="28"/>
          <w:szCs w:val="28"/>
        </w:rPr>
        <w:t>Iraq</w:t>
      </w:r>
      <w:r w:rsidRPr="00226237">
        <w:rPr>
          <w:sz w:val="28"/>
          <w:szCs w:val="28"/>
        </w:rPr>
        <w:t xml:space="preserve"> </w:t>
      </w:r>
      <w:r w:rsidRPr="00226237">
        <w:rPr>
          <w:b/>
          <w:bCs/>
          <w:sz w:val="28"/>
          <w:szCs w:val="28"/>
        </w:rPr>
        <w:t>Mashreq Gender Facility</w:t>
      </w:r>
    </w:p>
    <w:p w14:paraId="181BA5D0" w14:textId="63C86CA6" w:rsidR="00226237" w:rsidRPr="00226237" w:rsidRDefault="00226237" w:rsidP="005F2BCA">
      <w:pPr>
        <w:jc w:val="center"/>
        <w:rPr>
          <w:b/>
          <w:bCs/>
          <w:sz w:val="28"/>
          <w:szCs w:val="28"/>
        </w:rPr>
      </w:pPr>
      <w:r w:rsidRPr="00226237">
        <w:rPr>
          <w:b/>
          <w:bCs/>
          <w:sz w:val="28"/>
          <w:szCs w:val="28"/>
        </w:rPr>
        <w:t xml:space="preserve">Consultant </w:t>
      </w:r>
      <w:r w:rsidR="006D1421" w:rsidRPr="005D46A8">
        <w:rPr>
          <w:b/>
          <w:bCs/>
          <w:sz w:val="28"/>
          <w:szCs w:val="28"/>
        </w:rPr>
        <w:t xml:space="preserve">providing training for </w:t>
      </w:r>
      <w:r w:rsidR="00E6007A">
        <w:rPr>
          <w:b/>
          <w:bCs/>
          <w:sz w:val="28"/>
          <w:szCs w:val="28"/>
        </w:rPr>
        <w:t>trainers of</w:t>
      </w:r>
      <w:r w:rsidR="004D53AB">
        <w:rPr>
          <w:b/>
          <w:bCs/>
          <w:sz w:val="28"/>
          <w:szCs w:val="28"/>
        </w:rPr>
        <w:t xml:space="preserve"> children</w:t>
      </w:r>
      <w:r w:rsidR="002B0926" w:rsidRPr="002B0926">
        <w:rPr>
          <w:b/>
          <w:bCs/>
          <w:sz w:val="28"/>
          <w:szCs w:val="28"/>
        </w:rPr>
        <w:t xml:space="preserve"> with developmental delays or disabilities, including autism.</w:t>
      </w:r>
      <w:r w:rsidR="005F2BCA">
        <w:rPr>
          <w:b/>
          <w:bCs/>
          <w:sz w:val="28"/>
          <w:szCs w:val="28"/>
        </w:rPr>
        <w:t xml:space="preserve"> </w:t>
      </w:r>
    </w:p>
    <w:p w14:paraId="77B4D56E" w14:textId="77777777" w:rsidR="00226237" w:rsidRPr="00226237" w:rsidRDefault="00226237" w:rsidP="00226237">
      <w:pPr>
        <w:rPr>
          <w:b/>
          <w:bCs/>
        </w:rPr>
      </w:pPr>
    </w:p>
    <w:p w14:paraId="3DA70F01" w14:textId="1326E596" w:rsidR="00226237" w:rsidRPr="00C164A0" w:rsidRDefault="00226237" w:rsidP="00C164A0">
      <w:pPr>
        <w:rPr>
          <w:b/>
          <w:bCs/>
        </w:rPr>
      </w:pPr>
      <w:r w:rsidRPr="00226237">
        <w:rPr>
          <w:b/>
          <w:bCs/>
        </w:rPr>
        <w:t>1- Background</w:t>
      </w:r>
    </w:p>
    <w:p w14:paraId="4AB27315" w14:textId="6BA31638" w:rsidR="00226237" w:rsidRPr="00226237" w:rsidRDefault="00226237" w:rsidP="00AA3C1E">
      <w:pPr>
        <w:jc w:val="lowKashida"/>
      </w:pPr>
      <w:r w:rsidRPr="00226237">
        <w:rPr>
          <w:b/>
          <w:bCs/>
        </w:rPr>
        <w:t>Gender equality is smart economics, contributing to poverty reduction, strengthening resilience, and boosting shared prosperity</w:t>
      </w:r>
      <w:r w:rsidRPr="00226237">
        <w:t xml:space="preserve">. Empowering women and girls have an intrinsic value and is instrumental to achieve more inclusive institutions, sound policies, and effective development outcomes. </w:t>
      </w:r>
    </w:p>
    <w:p w14:paraId="0119834A" w14:textId="5B206C3F" w:rsidR="00226237" w:rsidRPr="00226237" w:rsidRDefault="00226237" w:rsidP="00AA3C1E">
      <w:pPr>
        <w:jc w:val="lowKashida"/>
      </w:pPr>
      <w:r w:rsidRPr="00226237">
        <w:rPr>
          <w:b/>
          <w:bCs/>
        </w:rPr>
        <w:t>In the Mashreq countries of Iraq, Jordan and Lebanon important gains have been made in women’s access to education and health, but persistent challenges remain in women’s economic opportunities</w:t>
      </w:r>
      <w:r w:rsidRPr="00226237">
        <w:t>. In the Mashreq countries, around 1 in 5 women work and less than 5% of firms are led by a woman. Legally, there are certain restrictions related to areas and tasks in which women can work in all three countries. Women also have less access to formal financial services. Furthermore, countries are faced with context-specific problems, especially in the face of fragility and conflict.</w:t>
      </w:r>
    </w:p>
    <w:p w14:paraId="68746F5F" w14:textId="21FC3BDB" w:rsidR="00226237" w:rsidRPr="00226237" w:rsidRDefault="00226237" w:rsidP="00AA3C1E">
      <w:pPr>
        <w:jc w:val="lowKashida"/>
      </w:pPr>
      <w:r w:rsidRPr="00226237">
        <w:rPr>
          <w:b/>
          <w:bCs/>
        </w:rPr>
        <w:t>Increased female economic participation would contribute to inclusive growth, and to help grow the middle class</w:t>
      </w:r>
      <w:r w:rsidRPr="00226237">
        <w:t xml:space="preserve">. Closing the gender gap in labor force participation rates by 25 percent can boost GDP (PPP terms) by 9 percent in Lebanon, 10 percent in Jordan and 11 percent in Iraq (ILO 2018). </w:t>
      </w:r>
    </w:p>
    <w:p w14:paraId="47286A1D" w14:textId="19659895" w:rsidR="00226237" w:rsidRPr="00226237" w:rsidRDefault="00226237" w:rsidP="00AA3C1E">
      <w:pPr>
        <w:jc w:val="lowKashida"/>
      </w:pPr>
      <w:r w:rsidRPr="00226237">
        <w:rPr>
          <w:b/>
          <w:bCs/>
        </w:rPr>
        <w:t>The Mashreq Gender Facility, launched on January 19, 2019, in Beirut, Lebanon, provides technical assistance to the Mashreq countries to enhance women’s economic opportunities as a catalyst towards more inclusive, sustainable, and peaceful societies, where economic growth benefits all</w:t>
      </w:r>
      <w:r w:rsidRPr="00226237">
        <w:t>. Through collaboration with private sector, civil society and development partners, the Facility supports government-led efforts, country level priorities and strategic regional activities that: (i) Strengthen the enabling environment for women’s economic participation; and (b) Improve women’s access to economic opportunities.</w:t>
      </w:r>
    </w:p>
    <w:p w14:paraId="47288B0A" w14:textId="6689DD66" w:rsidR="00226237" w:rsidRPr="00226237" w:rsidRDefault="00226237" w:rsidP="002F185D">
      <w:pPr>
        <w:jc w:val="lowKashida"/>
        <w:rPr>
          <w:b/>
          <w:bCs/>
        </w:rPr>
      </w:pPr>
      <w:r w:rsidRPr="00226237">
        <w:rPr>
          <w:b/>
          <w:bCs/>
        </w:rPr>
        <w:t xml:space="preserve">The 5-year Facility (2019-2024) supports country level activities guided by government developed Action Plans under three, interconnected, pillars: </w:t>
      </w:r>
    </w:p>
    <w:p w14:paraId="796AE5F5" w14:textId="77777777" w:rsidR="00226237" w:rsidRPr="00226237" w:rsidRDefault="00226237" w:rsidP="00AA3C1E">
      <w:pPr>
        <w:jc w:val="lowKashida"/>
      </w:pPr>
      <w:r w:rsidRPr="00226237">
        <w:t>i. Dialogue &amp; Participation: building capacity and awareness at all levels, convening stakeholders across sectors and segments</w:t>
      </w:r>
    </w:p>
    <w:p w14:paraId="1504D45A" w14:textId="77777777" w:rsidR="00226237" w:rsidRPr="00226237" w:rsidRDefault="00226237" w:rsidP="00AA3C1E">
      <w:pPr>
        <w:jc w:val="lowKashida"/>
      </w:pPr>
      <w:r w:rsidRPr="00226237">
        <w:t xml:space="preserve">ii. Data &amp; Knowledge: country and regional data and analytics for evidence-based policies </w:t>
      </w:r>
    </w:p>
    <w:p w14:paraId="17CB2235" w14:textId="53E491BD" w:rsidR="00226237" w:rsidRPr="00226237" w:rsidRDefault="00226237" w:rsidP="00AA3C1E">
      <w:pPr>
        <w:jc w:val="lowKashida"/>
      </w:pPr>
      <w:r w:rsidRPr="00226237">
        <w:lastRenderedPageBreak/>
        <w:t>iii. Innovating for Results: testing and assessing interventions to identify solutions and provide support to catalytic initiatives that boost women’s economic opportunities.</w:t>
      </w:r>
    </w:p>
    <w:p w14:paraId="0602A456" w14:textId="7BCB5F1E" w:rsidR="00226237" w:rsidRDefault="00226237" w:rsidP="002E7DBC">
      <w:pPr>
        <w:jc w:val="lowKashida"/>
      </w:pPr>
      <w:r w:rsidRPr="00226237">
        <w:rPr>
          <w:b/>
          <w:bCs/>
        </w:rPr>
        <w:t>Female labor force participation (FLFP) rate in Iraq is particularly low. The FLFP in Iraq now is (10.6 percent), compared with the male labor force participation rate (68.0 percent)</w:t>
      </w:r>
      <w:r w:rsidRPr="00226237">
        <w:rPr>
          <w:b/>
          <w:bCs/>
          <w:vertAlign w:val="superscript"/>
        </w:rPr>
        <w:footnoteReference w:id="1"/>
      </w:r>
      <w:r w:rsidRPr="00226237">
        <w:rPr>
          <w:b/>
          <w:bCs/>
        </w:rPr>
        <w:t xml:space="preserve">, </w:t>
      </w:r>
      <w:r w:rsidRPr="00226237">
        <w:t xml:space="preserve">which can undermine the country’s potential to maximize economic growth. To respond to the challenge of low FLFP, the Mashreq Gender Facility (MGF) and the Government of Iraq (GoI) launched a national Women Economic Empowerment Action Plan (WEEAP) which has set the ambitious goal of increasing FLFP rate by 5 percentage points by 2024. </w:t>
      </w:r>
    </w:p>
    <w:p w14:paraId="4E3F3203" w14:textId="05D06A5E" w:rsidR="00272486" w:rsidRPr="00226237" w:rsidRDefault="00272486" w:rsidP="002E7DBC">
      <w:pPr>
        <w:jc w:val="lowKashida"/>
      </w:pPr>
      <w:r w:rsidRPr="0028264A">
        <w:rPr>
          <w:b/>
          <w:bCs/>
        </w:rPr>
        <w:t xml:space="preserve">Children with disabilities are one of the most </w:t>
      </w:r>
      <w:r w:rsidR="00225166" w:rsidRPr="0028264A">
        <w:rPr>
          <w:b/>
          <w:bCs/>
        </w:rPr>
        <w:t>disregarded</w:t>
      </w:r>
      <w:r w:rsidRPr="0028264A">
        <w:rPr>
          <w:b/>
          <w:bCs/>
        </w:rPr>
        <w:t xml:space="preserve"> and excluded groups in society.</w:t>
      </w:r>
      <w:r>
        <w:t xml:space="preserve"> </w:t>
      </w:r>
      <w:r w:rsidR="00A97EF2">
        <w:t>They are f</w:t>
      </w:r>
      <w:r>
        <w:t xml:space="preserve">acing daily discrimination in the form of negative attitudes, they are sometimes deprived from realizing their rights to healthcare, education, and even survival. </w:t>
      </w:r>
      <w:r w:rsidR="00B770D1">
        <w:t xml:space="preserve">In Iraq </w:t>
      </w:r>
      <w:r w:rsidR="00AC1F3E">
        <w:t xml:space="preserve">according to </w:t>
      </w:r>
      <w:r w:rsidR="0019247B">
        <w:t>national survey for disabilities</w:t>
      </w:r>
      <w:r w:rsidR="00181876">
        <w:t>,</w:t>
      </w:r>
      <w:r w:rsidR="00B92544">
        <w:t xml:space="preserve"> about</w:t>
      </w:r>
      <w:r w:rsidR="00181876">
        <w:t xml:space="preserve"> </w:t>
      </w:r>
      <w:r w:rsidR="0074617E">
        <w:t xml:space="preserve">1.3 </w:t>
      </w:r>
      <w:r w:rsidR="00DC3BA8">
        <w:t xml:space="preserve">million </w:t>
      </w:r>
      <w:r w:rsidR="00181876">
        <w:t xml:space="preserve">people </w:t>
      </w:r>
      <w:r w:rsidR="00DC3BA8">
        <w:t>are disabled</w:t>
      </w:r>
      <w:r w:rsidR="00C01BDE">
        <w:t>, and 27.7 percent of total disabled people are under the age of 15</w:t>
      </w:r>
      <w:r w:rsidR="00895592">
        <w:rPr>
          <w:rStyle w:val="FootnoteReference"/>
        </w:rPr>
        <w:footnoteReference w:id="2"/>
      </w:r>
      <w:r w:rsidR="00C01BDE">
        <w:t>.</w:t>
      </w:r>
      <w:r w:rsidR="003F39F9">
        <w:t xml:space="preserve"> Ra</w:t>
      </w:r>
      <w:r w:rsidR="006D46B6">
        <w:t>i</w:t>
      </w:r>
      <w:r w:rsidR="003F39F9">
        <w:t>sing a child</w:t>
      </w:r>
      <w:r w:rsidR="006D46B6">
        <w:t xml:space="preserve"> </w:t>
      </w:r>
      <w:r w:rsidR="00B436F0">
        <w:t xml:space="preserve">affects </w:t>
      </w:r>
      <w:r w:rsidR="007B1561">
        <w:t>parents’</w:t>
      </w:r>
      <w:r w:rsidR="00483E26">
        <w:t xml:space="preserve"> participation in labor market, especially among women. </w:t>
      </w:r>
      <w:r w:rsidR="007B1561" w:rsidRPr="007B1561">
        <w:t>The pressure from work and care responsibilities is even stronger for parents of children with disabilities, particularly the mothers</w:t>
      </w:r>
      <w:r w:rsidR="007B1561">
        <w:t xml:space="preserve">. </w:t>
      </w:r>
      <w:r w:rsidR="00751CF2">
        <w:t xml:space="preserve">Studies shown </w:t>
      </w:r>
      <w:r w:rsidR="00751CF2" w:rsidRPr="00751CF2">
        <w:t>that caring for children with disabilities has a negative effect on mothers’ labour market participation, working hours and labour income. The more severe a child’s condition is, the more likely the mother was to work and earn less, or to stop working entirely</w:t>
      </w:r>
      <w:r w:rsidR="00450AC5">
        <w:rPr>
          <w:rStyle w:val="FootnoteReference"/>
        </w:rPr>
        <w:footnoteReference w:id="3"/>
      </w:r>
      <w:r w:rsidR="00010888">
        <w:t xml:space="preserve">. </w:t>
      </w:r>
      <w:r w:rsidR="00051E21" w:rsidRPr="00051E21">
        <w:t>In Iraq, the MGF is supporting the implementation of a government-led country work plan developed within the context of Iraq, inclusive of the Kurdistan region of Iraq (KRI). In the second workplan of Iraq 2021-2022, one of the main pillar</w:t>
      </w:r>
      <w:r w:rsidR="00D66849">
        <w:t>s</w:t>
      </w:r>
      <w:r w:rsidR="00051E21" w:rsidRPr="00051E21">
        <w:t xml:space="preserve"> focused on</w:t>
      </w:r>
      <w:r w:rsidR="003A7504">
        <w:t xml:space="preserve"> providing support to the challenges of childcare in Iraq and Kurdistan region</w:t>
      </w:r>
      <w:r w:rsidR="003C5DCA">
        <w:t xml:space="preserve">. </w:t>
      </w:r>
    </w:p>
    <w:p w14:paraId="5E3C84FD" w14:textId="77777777" w:rsidR="00226237" w:rsidRPr="00226237" w:rsidRDefault="00226237" w:rsidP="00226237">
      <w:pPr>
        <w:rPr>
          <w:b/>
          <w:bCs/>
        </w:rPr>
      </w:pPr>
      <w:r w:rsidRPr="00226237">
        <w:rPr>
          <w:b/>
          <w:bCs/>
        </w:rPr>
        <w:t xml:space="preserve">2- OBJECTIVES </w:t>
      </w:r>
    </w:p>
    <w:p w14:paraId="74D1E3D3" w14:textId="16D5DEF4" w:rsidR="001B0C84" w:rsidRDefault="001B0C84" w:rsidP="004C1020">
      <w:pPr>
        <w:jc w:val="lowKashida"/>
      </w:pPr>
      <w:r>
        <w:t>The</w:t>
      </w:r>
      <w:r w:rsidR="00B141AD">
        <w:t xml:space="preserve"> Iraqi government </w:t>
      </w:r>
      <w:r w:rsidR="0048572F">
        <w:t xml:space="preserve">requested </w:t>
      </w:r>
      <w:r w:rsidR="003072A4">
        <w:t>to conduct</w:t>
      </w:r>
      <w:r w:rsidR="00924721">
        <w:t xml:space="preserve"> an assessment to determine the </w:t>
      </w:r>
      <w:r w:rsidR="00002E68">
        <w:t>requirements of</w:t>
      </w:r>
      <w:r w:rsidR="00924721">
        <w:t xml:space="preserve"> </w:t>
      </w:r>
      <w:r w:rsidR="00002E68">
        <w:t>trainers</w:t>
      </w:r>
      <w:r w:rsidR="00924721">
        <w:t xml:space="preserve"> of children </w:t>
      </w:r>
      <w:r w:rsidR="008522E7">
        <w:t>with special needs (focusing on autism centers)</w:t>
      </w:r>
      <w:r w:rsidR="00C45B0D">
        <w:t>,</w:t>
      </w:r>
      <w:r w:rsidR="008522E7">
        <w:t xml:space="preserve"> then provide training</w:t>
      </w:r>
      <w:r w:rsidR="00002E68">
        <w:t xml:space="preserve"> to the trainers</w:t>
      </w:r>
      <w:r w:rsidR="00924721">
        <w:t xml:space="preserve"> </w:t>
      </w:r>
      <w:r w:rsidR="005E5AAC" w:rsidRPr="005E5AAC">
        <w:t>of care providers on teaching skills to children with special need</w:t>
      </w:r>
      <w:r w:rsidR="006426CB">
        <w:t>s</w:t>
      </w:r>
      <w:r w:rsidR="000B61DA">
        <w:t xml:space="preserve"> under childcare pillar</w:t>
      </w:r>
      <w:r w:rsidR="00512DBB">
        <w:t xml:space="preserve"> of MGF workplan </w:t>
      </w:r>
      <w:r w:rsidR="00D3051D">
        <w:t xml:space="preserve">– phase </w:t>
      </w:r>
      <w:r w:rsidR="00397A70">
        <w:t>two</w:t>
      </w:r>
      <w:r w:rsidR="00512DBB">
        <w:t>.</w:t>
      </w:r>
      <w:r w:rsidR="00446CD3">
        <w:t xml:space="preserve"> </w:t>
      </w:r>
      <w:r w:rsidR="00D44EB9">
        <w:t xml:space="preserve">This request came due to the high number of disabled children in Iraq, and </w:t>
      </w:r>
      <w:r w:rsidR="00692A64">
        <w:t>the</w:t>
      </w:r>
      <w:r w:rsidR="00F5751F">
        <w:t xml:space="preserve"> </w:t>
      </w:r>
      <w:r w:rsidR="00A4087F">
        <w:t>increa</w:t>
      </w:r>
      <w:r w:rsidR="00687B59">
        <w:t>sing</w:t>
      </w:r>
      <w:r w:rsidR="00F5751F">
        <w:t xml:space="preserve"> demand</w:t>
      </w:r>
      <w:r w:rsidR="00D520FC">
        <w:t xml:space="preserve"> for specialized</w:t>
      </w:r>
      <w:r w:rsidR="00692A64">
        <w:t xml:space="preserve"> care</w:t>
      </w:r>
      <w:r w:rsidR="004964AB">
        <w:t xml:space="preserve"> providers </w:t>
      </w:r>
      <w:r w:rsidR="00D520FC">
        <w:t xml:space="preserve">for children with disabilities. </w:t>
      </w:r>
    </w:p>
    <w:p w14:paraId="67058FBA" w14:textId="5C7BC79C" w:rsidR="00D47888" w:rsidRPr="00226237" w:rsidRDefault="00226237" w:rsidP="00F61547">
      <w:pPr>
        <w:jc w:val="lowKashida"/>
      </w:pPr>
      <w:r w:rsidRPr="00226237">
        <w:t xml:space="preserve">The purpose of this consultancy is to engage a consultant specialized </w:t>
      </w:r>
      <w:r w:rsidR="00AE6C3F">
        <w:t>in teaching skills to children with special needs</w:t>
      </w:r>
      <w:r w:rsidR="00622514">
        <w:t xml:space="preserve"> (autism centers)</w:t>
      </w:r>
      <w:r w:rsidR="00AE6C3F">
        <w:t>, and to p</w:t>
      </w:r>
      <w:r w:rsidR="00AE6C3F" w:rsidRPr="00AE6C3F">
        <w:t xml:space="preserve">rovide </w:t>
      </w:r>
      <w:r w:rsidR="00AE6C3F">
        <w:t>two</w:t>
      </w:r>
      <w:r w:rsidR="00AE6C3F" w:rsidRPr="00AE6C3F">
        <w:t xml:space="preserve"> training courses</w:t>
      </w:r>
      <w:r w:rsidR="0018010B">
        <w:t xml:space="preserve"> (targeting </w:t>
      </w:r>
      <w:r w:rsidR="000C03A5">
        <w:t>50 trainees)</w:t>
      </w:r>
      <w:r w:rsidR="00622514">
        <w:t xml:space="preserve"> in </w:t>
      </w:r>
      <w:r w:rsidR="008F554D">
        <w:t xml:space="preserve">Baghdad </w:t>
      </w:r>
      <w:r w:rsidR="008720EF">
        <w:t>and Erbil</w:t>
      </w:r>
      <w:r w:rsidR="00AE6C3F" w:rsidRPr="00AE6C3F">
        <w:t xml:space="preserve"> to care providers specifically on childcare support to children with special needs</w:t>
      </w:r>
      <w:r w:rsidR="009756E3">
        <w:t xml:space="preserve"> in autism centers</w:t>
      </w:r>
      <w:r w:rsidR="004D0A4D">
        <w:t>.</w:t>
      </w:r>
      <w:r w:rsidR="00FA044B">
        <w:t xml:space="preserve"> A</w:t>
      </w:r>
      <w:r w:rsidR="00F61547">
        <w:t xml:space="preserve">s according to Iraqi MOLSA </w:t>
      </w:r>
      <w:r w:rsidR="003072A4">
        <w:t>stakeholders’</w:t>
      </w:r>
      <w:r w:rsidR="00333B7C">
        <w:t xml:space="preserve"> information</w:t>
      </w:r>
      <w:r w:rsidR="00F61547">
        <w:t xml:space="preserve">, the trainers </w:t>
      </w:r>
      <w:r w:rsidR="00352D78">
        <w:t>of children in public autism centers</w:t>
      </w:r>
      <w:r w:rsidR="00343E6D">
        <w:t xml:space="preserve"> who train</w:t>
      </w:r>
      <w:r w:rsidR="00BD56CA">
        <w:t xml:space="preserve"> </w:t>
      </w:r>
      <w:r w:rsidR="00352D78" w:rsidRPr="00352D78">
        <w:t>autistic children lack access to</w:t>
      </w:r>
      <w:r w:rsidR="00343E6D">
        <w:t xml:space="preserve"> new</w:t>
      </w:r>
      <w:r w:rsidR="00352D78" w:rsidRPr="00352D78">
        <w:t xml:space="preserve"> information and </w:t>
      </w:r>
      <w:r w:rsidR="00DE61D7">
        <w:t xml:space="preserve">required </w:t>
      </w:r>
      <w:r w:rsidR="00BD56CA">
        <w:t>skills</w:t>
      </w:r>
      <w:r w:rsidR="00343E6D">
        <w:t>, and they</w:t>
      </w:r>
      <w:r w:rsidR="000A3442">
        <w:t xml:space="preserve"> need </w:t>
      </w:r>
      <w:r w:rsidR="00BD56CA">
        <w:t>refreshment</w:t>
      </w:r>
      <w:r w:rsidR="000A3442">
        <w:t xml:space="preserve"> courses and capacity building</w:t>
      </w:r>
      <w:r w:rsidR="00BD56CA">
        <w:t xml:space="preserve"> regularly</w:t>
      </w:r>
      <w:r w:rsidR="000A3442">
        <w:t xml:space="preserve">. </w:t>
      </w:r>
      <w:r w:rsidR="00343E6D">
        <w:t xml:space="preserve"> </w:t>
      </w:r>
    </w:p>
    <w:p w14:paraId="1915E0F5" w14:textId="77777777" w:rsidR="00226237" w:rsidRPr="00226237" w:rsidRDefault="00226237" w:rsidP="00226237">
      <w:pPr>
        <w:rPr>
          <w:b/>
          <w:bCs/>
        </w:rPr>
      </w:pPr>
      <w:r w:rsidRPr="00226237">
        <w:rPr>
          <w:b/>
          <w:bCs/>
        </w:rPr>
        <w:t>3- Key Activities and Deliverables</w:t>
      </w:r>
    </w:p>
    <w:p w14:paraId="4C330D25" w14:textId="7ECAEE6A" w:rsidR="00226237" w:rsidRPr="00226237" w:rsidRDefault="00C164A0" w:rsidP="00651250">
      <w:pPr>
        <w:jc w:val="lowKashida"/>
      </w:pPr>
      <w:r>
        <w:t>Two</w:t>
      </w:r>
      <w:r w:rsidR="00226237" w:rsidRPr="00226237">
        <w:t xml:space="preserve"> training </w:t>
      </w:r>
      <w:r w:rsidR="00C62182" w:rsidRPr="00226237">
        <w:t>courses</w:t>
      </w:r>
      <w:r w:rsidR="00226237" w:rsidRPr="00226237">
        <w:t xml:space="preserve"> for </w:t>
      </w:r>
      <w:r w:rsidR="00D35E78">
        <w:t>trainers providing care</w:t>
      </w:r>
      <w:r w:rsidR="008720EF">
        <w:t xml:space="preserve"> </w:t>
      </w:r>
      <w:r w:rsidR="00574C92">
        <w:t xml:space="preserve">to children with special needs </w:t>
      </w:r>
      <w:r w:rsidR="00683B1D">
        <w:t xml:space="preserve">(autism centers) </w:t>
      </w:r>
      <w:r w:rsidR="003C03B7">
        <w:t>belongs to Ministry of La</w:t>
      </w:r>
      <w:r w:rsidR="00D35E78">
        <w:t>b</w:t>
      </w:r>
      <w:r w:rsidR="003C03B7">
        <w:t>or and Social Affairs</w:t>
      </w:r>
      <w:r w:rsidR="00D35E78">
        <w:t xml:space="preserve"> </w:t>
      </w:r>
      <w:r w:rsidR="004149BB">
        <w:t>The consultancy</w:t>
      </w:r>
      <w:r w:rsidR="00226237" w:rsidRPr="00226237">
        <w:t xml:space="preserve"> will include below activities:</w:t>
      </w:r>
    </w:p>
    <w:p w14:paraId="240E12A9" w14:textId="516D31E2" w:rsidR="009535D3" w:rsidRDefault="00226237" w:rsidP="00651250">
      <w:pPr>
        <w:jc w:val="lowKashida"/>
      </w:pPr>
      <w:r w:rsidRPr="00226237">
        <w:t xml:space="preserve">1- </w:t>
      </w:r>
      <w:r w:rsidR="009535D3">
        <w:t xml:space="preserve">Conducting as assessment </w:t>
      </w:r>
      <w:r w:rsidR="006974C6">
        <w:t xml:space="preserve">about the requirements of trainers of </w:t>
      </w:r>
      <w:r w:rsidR="00BD7865">
        <w:t xml:space="preserve">public </w:t>
      </w:r>
      <w:r w:rsidR="006974C6">
        <w:t>autism centers</w:t>
      </w:r>
      <w:r w:rsidR="00E53BB0">
        <w:t xml:space="preserve">, by conducting interview with </w:t>
      </w:r>
      <w:r w:rsidR="00542DCF">
        <w:t xml:space="preserve">the trainers and </w:t>
      </w:r>
      <w:r w:rsidR="008C54BC">
        <w:t>the care providers</w:t>
      </w:r>
      <w:r w:rsidR="00BD7865">
        <w:t>. Also, h</w:t>
      </w:r>
      <w:r w:rsidR="00BD7865" w:rsidRPr="00BD7865">
        <w:t xml:space="preserve">old consultation sessions with stakeholders including government entities (MOLSA, child </w:t>
      </w:r>
      <w:r w:rsidR="004B5D14">
        <w:t xml:space="preserve">welfare </w:t>
      </w:r>
      <w:r w:rsidR="00BD7865" w:rsidRPr="00BD7865">
        <w:t xml:space="preserve">committee, </w:t>
      </w:r>
      <w:r w:rsidR="005E7B55">
        <w:t xml:space="preserve">Ministry of Health, </w:t>
      </w:r>
      <w:r w:rsidR="00BD7865" w:rsidRPr="00BD7865">
        <w:t xml:space="preserve">and </w:t>
      </w:r>
      <w:r w:rsidR="004B5D14">
        <w:t xml:space="preserve">related </w:t>
      </w:r>
      <w:r w:rsidR="00BD7865" w:rsidRPr="00BD7865">
        <w:t>governorate representatives), to get information about the situation of the country in regard of disabled children, the services provided to them by government through specialized</w:t>
      </w:r>
      <w:r w:rsidR="004B5D14">
        <w:t xml:space="preserve"> public</w:t>
      </w:r>
      <w:r w:rsidR="00BD7865" w:rsidRPr="00BD7865">
        <w:t xml:space="preserve"> childcare centers.</w:t>
      </w:r>
      <w:r w:rsidR="00222DAE">
        <w:t xml:space="preserve"> </w:t>
      </w:r>
      <w:r w:rsidR="009F3D76">
        <w:t>Prepare assessment report and submitted to MGF team.</w:t>
      </w:r>
      <w:r w:rsidR="00BD7865" w:rsidRPr="00BD7865">
        <w:t xml:space="preserve">       </w:t>
      </w:r>
      <w:r w:rsidR="008C54BC">
        <w:t xml:space="preserve"> </w:t>
      </w:r>
    </w:p>
    <w:p w14:paraId="07F30BC7" w14:textId="7C81B79F" w:rsidR="00226237" w:rsidRPr="00226237" w:rsidRDefault="009535D3" w:rsidP="00B70C2D">
      <w:pPr>
        <w:jc w:val="lowKashida"/>
      </w:pPr>
      <w:r>
        <w:t xml:space="preserve">2- </w:t>
      </w:r>
      <w:r w:rsidR="00226237" w:rsidRPr="00226237">
        <w:t>Deliver an inception report on the methodology and approach to conclude the activities below</w:t>
      </w:r>
      <w:r w:rsidR="00B70C2D">
        <w:t xml:space="preserve">. </w:t>
      </w:r>
    </w:p>
    <w:p w14:paraId="12177ACE" w14:textId="091799B2" w:rsidR="00226237" w:rsidRPr="00226237" w:rsidRDefault="008E3845" w:rsidP="00651250">
      <w:pPr>
        <w:jc w:val="lowKashida"/>
      </w:pPr>
      <w:r>
        <w:t>3</w:t>
      </w:r>
      <w:r w:rsidR="00226237" w:rsidRPr="00226237">
        <w:t>- Develop</w:t>
      </w:r>
      <w:r w:rsidR="00B70C2D">
        <w:t xml:space="preserve"> </w:t>
      </w:r>
      <w:r w:rsidR="00226237" w:rsidRPr="00226237">
        <w:t xml:space="preserve">training material </w:t>
      </w:r>
      <w:r w:rsidR="00C52045">
        <w:t xml:space="preserve">for trainers of </w:t>
      </w:r>
      <w:r w:rsidR="00F41D21">
        <w:t xml:space="preserve">children with special needs based on the </w:t>
      </w:r>
      <w:r w:rsidR="006102E5">
        <w:t>assessment</w:t>
      </w:r>
      <w:r w:rsidR="00F41D21">
        <w:t xml:space="preserve"> conducted with them </w:t>
      </w:r>
      <w:r w:rsidR="00251930">
        <w:t xml:space="preserve">by the consultant (first point above) </w:t>
      </w:r>
      <w:r w:rsidR="00F41D21">
        <w:t>and after</w:t>
      </w:r>
      <w:r w:rsidR="00251930">
        <w:t xml:space="preserve"> consultation with MOLSA related stakeholders </w:t>
      </w:r>
      <w:r w:rsidR="000C30B1">
        <w:t>and agreement</w:t>
      </w:r>
      <w:r w:rsidR="00E81F51">
        <w:t xml:space="preserve"> with MGF team. The </w:t>
      </w:r>
      <w:r w:rsidR="00857565">
        <w:t xml:space="preserve">course may consist </w:t>
      </w:r>
      <w:r w:rsidR="00D463A2">
        <w:t xml:space="preserve">of </w:t>
      </w:r>
      <w:r w:rsidR="00857565">
        <w:t>below</w:t>
      </w:r>
      <w:r w:rsidR="00951113">
        <w:t xml:space="preserve"> </w:t>
      </w:r>
      <w:r w:rsidR="00C6434C">
        <w:t>modules</w:t>
      </w:r>
      <w:r w:rsidR="00951113">
        <w:t xml:space="preserve"> but not limited to: </w:t>
      </w:r>
      <w:r w:rsidR="0088276B">
        <w:t xml:space="preserve">Stages of </w:t>
      </w:r>
      <w:r w:rsidR="000C6387">
        <w:t xml:space="preserve">autism </w:t>
      </w:r>
      <w:r w:rsidR="0088276B">
        <w:t>c</w:t>
      </w:r>
      <w:r w:rsidR="00951113">
        <w:t xml:space="preserve">hildren’s growth and </w:t>
      </w:r>
      <w:r w:rsidR="0088276B">
        <w:t xml:space="preserve">development, </w:t>
      </w:r>
      <w:r w:rsidR="00CD1302">
        <w:t xml:space="preserve">Different forms of </w:t>
      </w:r>
      <w:r w:rsidR="000C6387">
        <w:t>autism</w:t>
      </w:r>
      <w:r w:rsidR="00CD1302">
        <w:t xml:space="preserve"> </w:t>
      </w:r>
      <w:r w:rsidR="006E26C7">
        <w:t>in children,</w:t>
      </w:r>
      <w:r w:rsidR="0006010B">
        <w:t xml:space="preserve"> The basic </w:t>
      </w:r>
      <w:r w:rsidR="00BB4B96">
        <w:t>needs</w:t>
      </w:r>
      <w:r w:rsidR="0006010B">
        <w:t xml:space="preserve"> of children</w:t>
      </w:r>
      <w:r w:rsidR="00BE2413">
        <w:t xml:space="preserve"> with special needs</w:t>
      </w:r>
      <w:r w:rsidR="0006010B">
        <w:t>,</w:t>
      </w:r>
      <w:r w:rsidR="00805285">
        <w:t xml:space="preserve"> The basic elements of quality care</w:t>
      </w:r>
      <w:r w:rsidR="00231219">
        <w:t xml:space="preserve"> and education</w:t>
      </w:r>
      <w:r w:rsidR="00956D24">
        <w:t xml:space="preserve"> for </w:t>
      </w:r>
      <w:r w:rsidR="005011C8">
        <w:t>children</w:t>
      </w:r>
      <w:r w:rsidR="007047CE">
        <w:t xml:space="preserve"> with special needs</w:t>
      </w:r>
      <w:r w:rsidR="00231219">
        <w:t xml:space="preserve"> especially autism cases</w:t>
      </w:r>
      <w:r w:rsidR="000C6387">
        <w:t>.</w:t>
      </w:r>
      <w:r w:rsidR="00991921">
        <w:t xml:space="preserve"> </w:t>
      </w:r>
      <w:r w:rsidR="00492633">
        <w:t xml:space="preserve"> </w:t>
      </w:r>
      <w:r w:rsidR="001E76DD">
        <w:t xml:space="preserve"> </w:t>
      </w:r>
      <w:r w:rsidR="006E26C7">
        <w:t xml:space="preserve"> </w:t>
      </w:r>
      <w:r w:rsidR="00951113">
        <w:t xml:space="preserve"> </w:t>
      </w:r>
    </w:p>
    <w:p w14:paraId="04B73918" w14:textId="5D3F886F" w:rsidR="00226237" w:rsidRPr="00226237" w:rsidRDefault="004440C4" w:rsidP="00D94B48">
      <w:pPr>
        <w:jc w:val="lowKashida"/>
      </w:pPr>
      <w:r>
        <w:t>4</w:t>
      </w:r>
      <w:r w:rsidR="00226237" w:rsidRPr="00226237">
        <w:t xml:space="preserve">- Provide two training sessions for </w:t>
      </w:r>
      <w:r w:rsidR="00231219">
        <w:t xml:space="preserve">trainers of autism centers </w:t>
      </w:r>
      <w:r w:rsidR="007D2E03">
        <w:t>(25 trainer for each training) in Baghdad and Erbil</w:t>
      </w:r>
      <w:r w:rsidR="00A91DC3">
        <w:t xml:space="preserve">, </w:t>
      </w:r>
      <w:r w:rsidR="00226237" w:rsidRPr="00226237">
        <w:t>in cooperation with international and local civil society organizations</w:t>
      </w:r>
      <w:r w:rsidR="009D228E">
        <w:t xml:space="preserve">. </w:t>
      </w:r>
    </w:p>
    <w:p w14:paraId="5D831274" w14:textId="6CCB41CC" w:rsidR="00226237" w:rsidRPr="00226237" w:rsidRDefault="004440C4" w:rsidP="00D94B48">
      <w:pPr>
        <w:jc w:val="lowKashida"/>
      </w:pPr>
      <w:r>
        <w:t>5</w:t>
      </w:r>
      <w:r w:rsidR="00226237" w:rsidRPr="00226237">
        <w:t xml:space="preserve">- Provide updates on </w:t>
      </w:r>
      <w:r w:rsidR="00E008BC">
        <w:t>consultancy</w:t>
      </w:r>
      <w:r w:rsidR="00226237" w:rsidRPr="00226237">
        <w:t xml:space="preserve"> progress to the Team Leader of the World Bank and the Mashreq Gender Facility Team - Iraq. </w:t>
      </w:r>
      <w:r w:rsidR="00813F3F">
        <w:t xml:space="preserve">Also, attending meetings with government representatives and World Bank team as requested. </w:t>
      </w:r>
    </w:p>
    <w:p w14:paraId="10903AF2" w14:textId="67D6284B" w:rsidR="00226237" w:rsidRPr="00226237" w:rsidRDefault="004440C4" w:rsidP="00D94B48">
      <w:pPr>
        <w:jc w:val="lowKashida"/>
      </w:pPr>
      <w:r>
        <w:t>6</w:t>
      </w:r>
      <w:r w:rsidR="00226237" w:rsidRPr="00226237">
        <w:t>- All deliverables must be completed in English and Arabic languages.</w:t>
      </w:r>
    </w:p>
    <w:p w14:paraId="02151936" w14:textId="02606FBA" w:rsidR="00226237" w:rsidRPr="00E008BC" w:rsidRDefault="004440C4" w:rsidP="00D94B48">
      <w:pPr>
        <w:jc w:val="lowKashida"/>
      </w:pPr>
      <w:r>
        <w:t>7</w:t>
      </w:r>
      <w:r w:rsidR="00226237" w:rsidRPr="00226237">
        <w:t>- Activities must be implemented in person in Iraq.</w:t>
      </w:r>
    </w:p>
    <w:p w14:paraId="7E74E5A2" w14:textId="77777777" w:rsidR="00226237" w:rsidRPr="00226237" w:rsidRDefault="00226237" w:rsidP="00226237">
      <w:pPr>
        <w:rPr>
          <w:b/>
          <w:bCs/>
        </w:rPr>
      </w:pPr>
      <w:r w:rsidRPr="00226237">
        <w:rPr>
          <w:b/>
          <w:bCs/>
        </w:rPr>
        <w:t>Profile of the Consultant</w:t>
      </w:r>
    </w:p>
    <w:p w14:paraId="659A80D2" w14:textId="77777777" w:rsidR="00226237" w:rsidRPr="00226237" w:rsidRDefault="00226237" w:rsidP="00226237">
      <w:pPr>
        <w:rPr>
          <w:b/>
        </w:rPr>
      </w:pPr>
      <w:r w:rsidRPr="00226237">
        <w:rPr>
          <w:b/>
        </w:rPr>
        <w:t>Education:</w:t>
      </w:r>
    </w:p>
    <w:p w14:paraId="734CEAB4" w14:textId="3AF0E79D" w:rsidR="00226237" w:rsidRPr="00226237" w:rsidRDefault="00226237" w:rsidP="00226237">
      <w:r w:rsidRPr="00226237">
        <w:t xml:space="preserve">A university degree in </w:t>
      </w:r>
      <w:r w:rsidR="00D7274A">
        <w:t xml:space="preserve">Social </w:t>
      </w:r>
      <w:r w:rsidRPr="00226237">
        <w:t>Sciences,</w:t>
      </w:r>
      <w:r w:rsidR="00D61622">
        <w:t xml:space="preserve"> Social</w:t>
      </w:r>
      <w:r w:rsidRPr="00226237">
        <w:t xml:space="preserve"> </w:t>
      </w:r>
      <w:r w:rsidR="00180C64">
        <w:t>Education</w:t>
      </w:r>
      <w:r w:rsidRPr="00226237">
        <w:t>,</w:t>
      </w:r>
      <w:r w:rsidR="00180C64">
        <w:t xml:space="preserve"> </w:t>
      </w:r>
      <w:r w:rsidR="003B4EE0">
        <w:t>S</w:t>
      </w:r>
      <w:r w:rsidR="000E627C">
        <w:t>ociology,</w:t>
      </w:r>
      <w:r w:rsidRPr="00226237">
        <w:t xml:space="preserve"> or related fields.  </w:t>
      </w:r>
    </w:p>
    <w:p w14:paraId="68D4E33D" w14:textId="77777777" w:rsidR="00226237" w:rsidRPr="00226237" w:rsidRDefault="00226237" w:rsidP="009B4EE5">
      <w:pPr>
        <w:jc w:val="lowKashida"/>
        <w:rPr>
          <w:b/>
        </w:rPr>
      </w:pPr>
      <w:r w:rsidRPr="00226237">
        <w:rPr>
          <w:b/>
        </w:rPr>
        <w:t>Experience:</w:t>
      </w:r>
    </w:p>
    <w:p w14:paraId="4A1E9212" w14:textId="25253B59" w:rsidR="00226237" w:rsidRPr="00226237" w:rsidRDefault="00226237" w:rsidP="009B4EE5">
      <w:pPr>
        <w:jc w:val="lowKashida"/>
      </w:pPr>
      <w:r w:rsidRPr="00226237">
        <w:t xml:space="preserve">- </w:t>
      </w:r>
      <w:r w:rsidR="00F75358">
        <w:t xml:space="preserve">A certified trainer </w:t>
      </w:r>
      <w:r w:rsidR="006461DF">
        <w:t xml:space="preserve">about </w:t>
      </w:r>
      <w:r w:rsidR="008812C2">
        <w:t xml:space="preserve">training children with </w:t>
      </w:r>
      <w:r w:rsidR="0097356D" w:rsidRPr="0097356D">
        <w:t>developmental delays or disabilities, including autism</w:t>
      </w:r>
      <w:r w:rsidR="00BA2651">
        <w:t>.</w:t>
      </w:r>
    </w:p>
    <w:p w14:paraId="71D7E773" w14:textId="7946C02C" w:rsidR="00226237" w:rsidRPr="00226237" w:rsidRDefault="00226237" w:rsidP="009B4EE5">
      <w:pPr>
        <w:jc w:val="lowKashida"/>
      </w:pPr>
      <w:r w:rsidRPr="00226237">
        <w:t>- Demonstrated knowledge and experience in undertaking analytical work, preparing guidelines and capacity building materials</w:t>
      </w:r>
      <w:r w:rsidR="008C02B2">
        <w:t xml:space="preserve"> in related fields</w:t>
      </w:r>
      <w:r w:rsidRPr="00226237">
        <w:t xml:space="preserve">.  </w:t>
      </w:r>
    </w:p>
    <w:p w14:paraId="100B3EDF" w14:textId="021D75CF" w:rsidR="00226237" w:rsidRPr="00226237" w:rsidRDefault="00226237" w:rsidP="009B4EE5">
      <w:pPr>
        <w:jc w:val="lowKashida"/>
      </w:pPr>
      <w:r w:rsidRPr="00226237">
        <w:t>- Strong written and verbal communication skills, including the proven capacity to write reports and to build networks to obtain cooperation with partners.</w:t>
      </w:r>
    </w:p>
    <w:p w14:paraId="1A77ADB5" w14:textId="77777777" w:rsidR="00226237" w:rsidRPr="00226237" w:rsidRDefault="00226237" w:rsidP="009B4EE5">
      <w:pPr>
        <w:jc w:val="lowKashida"/>
      </w:pPr>
      <w:r w:rsidRPr="00226237">
        <w:t xml:space="preserve">- Familiarity with technical programmers and procedures, including experience working with international organizations, NGOs, private sector, and government institutions. </w:t>
      </w:r>
    </w:p>
    <w:p w14:paraId="7C4FC82D" w14:textId="77777777" w:rsidR="00226237" w:rsidRPr="00226237" w:rsidRDefault="00226237" w:rsidP="009B4EE5">
      <w:pPr>
        <w:jc w:val="lowKashida"/>
      </w:pPr>
      <w:r w:rsidRPr="00226237">
        <w:t>- Ability to work effectively in a team and excellent interpersonal skills; ability to work in a multicultural environment and to demonstrate gender-sensitive and non-discriminatory behavior and attitudes.</w:t>
      </w:r>
    </w:p>
    <w:p w14:paraId="1BBF54DF" w14:textId="77777777" w:rsidR="00226237" w:rsidRPr="00226237" w:rsidRDefault="00226237" w:rsidP="009B4EE5">
      <w:pPr>
        <w:jc w:val="lowKashida"/>
      </w:pPr>
      <w:r w:rsidRPr="00226237">
        <w:t>- Excellent computer/information application skills, including word processing, excel, power point etc. (MS Office suite).</w:t>
      </w:r>
    </w:p>
    <w:p w14:paraId="091E6C42" w14:textId="59D95D14" w:rsidR="00226237" w:rsidRPr="0049519F" w:rsidRDefault="00226237" w:rsidP="009B4EE5">
      <w:pPr>
        <w:jc w:val="lowKashida"/>
      </w:pPr>
      <w:r w:rsidRPr="00226237">
        <w:rPr>
          <w:b/>
          <w:bCs/>
        </w:rPr>
        <w:t xml:space="preserve">- </w:t>
      </w:r>
      <w:r w:rsidRPr="00226237">
        <w:t>Excellent command of spoken and written English. Knowledge of Arabic language are preferred.</w:t>
      </w:r>
    </w:p>
    <w:p w14:paraId="6F2BDE64" w14:textId="77777777" w:rsidR="00226237" w:rsidRPr="00226237" w:rsidRDefault="00226237" w:rsidP="00226237">
      <w:pPr>
        <w:rPr>
          <w:b/>
          <w:bCs/>
        </w:rPr>
      </w:pPr>
      <w:r w:rsidRPr="00226237">
        <w:rPr>
          <w:b/>
          <w:bCs/>
        </w:rPr>
        <w:t>5- ADMINISTRATIVE ARRANGEMENTS AND REMUNERATION</w:t>
      </w:r>
    </w:p>
    <w:p w14:paraId="660E9AFD" w14:textId="4A738EA6" w:rsidR="00226237" w:rsidRPr="00226237" w:rsidRDefault="00226237" w:rsidP="00867663">
      <w:r w:rsidRPr="00226237">
        <w:t xml:space="preserve">The duration of the consultancy is a total of 25 days, spanning over the period </w:t>
      </w:r>
      <w:r w:rsidR="00197E21">
        <w:t>August,</w:t>
      </w:r>
      <w:r w:rsidRPr="00226237">
        <w:t>202</w:t>
      </w:r>
      <w:r w:rsidR="00197E21">
        <w:t>3</w:t>
      </w:r>
      <w:r w:rsidRPr="00226237">
        <w:t>, to June</w:t>
      </w:r>
      <w:r w:rsidR="00197E21">
        <w:t xml:space="preserve"> </w:t>
      </w:r>
      <w:r w:rsidRPr="00226237">
        <w:t>202</w:t>
      </w:r>
      <w:r w:rsidR="00197E21">
        <w:t>4</w:t>
      </w:r>
      <w:r w:rsidRPr="00226237">
        <w:t xml:space="preserve">. Remuneration for this Short-Term Consultancy will be determined based on the candidate’s experience and the Terms of Reference. </w:t>
      </w:r>
    </w:p>
    <w:p w14:paraId="24438DBC" w14:textId="468EA8AD" w:rsidR="00313D75" w:rsidRDefault="00B4502F" w:rsidP="00867663">
      <w:r>
        <w:rPr>
          <w:b/>
          <w:bCs/>
          <w:i/>
          <w:iCs/>
        </w:rPr>
        <w:t>For interested candidates, p</w:t>
      </w:r>
      <w:r w:rsidR="00226237" w:rsidRPr="00226237">
        <w:rPr>
          <w:b/>
          <w:bCs/>
          <w:i/>
          <w:iCs/>
        </w:rPr>
        <w:t xml:space="preserve">lease send your </w:t>
      </w:r>
      <w:r>
        <w:rPr>
          <w:b/>
          <w:bCs/>
          <w:i/>
          <w:iCs/>
        </w:rPr>
        <w:t>CV</w:t>
      </w:r>
      <w:r w:rsidR="00226237" w:rsidRPr="00226237">
        <w:rPr>
          <w:b/>
          <w:bCs/>
          <w:i/>
          <w:iCs/>
        </w:rPr>
        <w:t xml:space="preserve"> to:</w:t>
      </w:r>
      <w:r w:rsidR="00226237" w:rsidRPr="00226237">
        <w:t xml:space="preserve"> Ms. Gharam Alkastalani Dexter </w:t>
      </w:r>
      <w:hyperlink r:id="rId9">
        <w:r w:rsidR="00226237" w:rsidRPr="00226237">
          <w:rPr>
            <w:rStyle w:val="Hyperlink"/>
          </w:rPr>
          <w:t>gdexter@worldbank.org</w:t>
        </w:r>
      </w:hyperlink>
      <w:r w:rsidR="00BA7587">
        <w:t xml:space="preserve">, and </w:t>
      </w:r>
      <w:r w:rsidR="00226237" w:rsidRPr="00226237">
        <w:t xml:space="preserve">Ms. Zheen Almukhtar, </w:t>
      </w:r>
      <w:hyperlink r:id="rId10" w:history="1">
        <w:r w:rsidR="00226237" w:rsidRPr="00226237">
          <w:rPr>
            <w:rStyle w:val="Hyperlink"/>
          </w:rPr>
          <w:t>zalmukhtar@worldbank.org</w:t>
        </w:r>
      </w:hyperlink>
      <w:r w:rsidR="00226237" w:rsidRPr="00226237">
        <w:t xml:space="preserve">.  </w:t>
      </w:r>
    </w:p>
    <w:sectPr w:rsidR="00313D7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C828" w14:textId="77777777" w:rsidR="00D64666" w:rsidRDefault="00D64666" w:rsidP="00226237">
      <w:pPr>
        <w:spacing w:after="0" w:line="240" w:lineRule="auto"/>
      </w:pPr>
      <w:r>
        <w:separator/>
      </w:r>
    </w:p>
  </w:endnote>
  <w:endnote w:type="continuationSeparator" w:id="0">
    <w:p w14:paraId="3B9DBBD2" w14:textId="77777777" w:rsidR="00D64666" w:rsidRDefault="00D64666" w:rsidP="0022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C9C7" w14:textId="77777777" w:rsidR="00F12DD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530130"/>
      <w:docPartObj>
        <w:docPartGallery w:val="Page Numbers (Bottom of Page)"/>
        <w:docPartUnique/>
      </w:docPartObj>
    </w:sdtPr>
    <w:sdtEndPr>
      <w:rPr>
        <w:noProof/>
      </w:rPr>
    </w:sdtEndPr>
    <w:sdtContent>
      <w:p w14:paraId="3524E85B" w14:textId="77777777" w:rsidR="007C185A" w:rsidRDefault="00DA1635">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3F2C1F9" w14:textId="77777777" w:rsidR="007C185A"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88D3" w14:textId="77777777" w:rsidR="00F12DD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75549" w14:textId="77777777" w:rsidR="00D64666" w:rsidRDefault="00D64666" w:rsidP="00226237">
      <w:pPr>
        <w:spacing w:after="0" w:line="240" w:lineRule="auto"/>
      </w:pPr>
      <w:r>
        <w:separator/>
      </w:r>
    </w:p>
  </w:footnote>
  <w:footnote w:type="continuationSeparator" w:id="0">
    <w:p w14:paraId="1F8A8335" w14:textId="77777777" w:rsidR="00D64666" w:rsidRDefault="00D64666" w:rsidP="00226237">
      <w:pPr>
        <w:spacing w:after="0" w:line="240" w:lineRule="auto"/>
      </w:pPr>
      <w:r>
        <w:continuationSeparator/>
      </w:r>
    </w:p>
  </w:footnote>
  <w:footnote w:id="1">
    <w:p w14:paraId="0E193894" w14:textId="77777777" w:rsidR="00226237" w:rsidRDefault="00226237" w:rsidP="00226237">
      <w:pPr>
        <w:pStyle w:val="FootnoteText"/>
      </w:pPr>
      <w:r>
        <w:rPr>
          <w:rStyle w:val="FootnoteReference"/>
        </w:rPr>
        <w:footnoteRef/>
      </w:r>
      <w:r>
        <w:t xml:space="preserve"> ILO: Iraq Labor Force Survey 2021</w:t>
      </w:r>
    </w:p>
  </w:footnote>
  <w:footnote w:id="2">
    <w:p w14:paraId="63D42CF6" w14:textId="27D4D52E" w:rsidR="00895592" w:rsidRDefault="00895592">
      <w:pPr>
        <w:pStyle w:val="FootnoteText"/>
      </w:pPr>
      <w:r>
        <w:rPr>
          <w:rStyle w:val="FootnoteReference"/>
        </w:rPr>
        <w:footnoteRef/>
      </w:r>
      <w:r>
        <w:t xml:space="preserve"> Central </w:t>
      </w:r>
      <w:r w:rsidR="00BC1389">
        <w:t xml:space="preserve">Statistical Organization Iraq, </w:t>
      </w:r>
      <w:r w:rsidR="00261C2E">
        <w:t>N</w:t>
      </w:r>
      <w:r w:rsidR="00261C2E" w:rsidRPr="00261C2E">
        <w:t>ational survey for disabilities</w:t>
      </w:r>
      <w:r w:rsidR="00A0403A">
        <w:t xml:space="preserve"> (2016</w:t>
      </w:r>
      <w:r w:rsidR="00947F41">
        <w:t>)</w:t>
      </w:r>
      <w:r w:rsidR="00261C2E">
        <w:t xml:space="preserve">. </w:t>
      </w:r>
    </w:p>
  </w:footnote>
  <w:footnote w:id="3">
    <w:p w14:paraId="2779CD8E" w14:textId="314AAD98" w:rsidR="00450AC5" w:rsidRDefault="00450AC5" w:rsidP="00156490">
      <w:pPr>
        <w:pStyle w:val="FootnoteText"/>
      </w:pPr>
      <w:r>
        <w:rPr>
          <w:rStyle w:val="FootnoteReference"/>
        </w:rPr>
        <w:footnoteRef/>
      </w:r>
      <w:r>
        <w:t xml:space="preserve"> </w:t>
      </w:r>
      <w:r w:rsidR="00156490">
        <w:t>Impact of child disability on parental employment and labour income</w:t>
      </w:r>
      <w:r w:rsidR="00F91954">
        <w:t xml:space="preserve">, BMC,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D115" w14:textId="77777777" w:rsidR="00F12DD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D4F6" w14:textId="77777777" w:rsidR="00F12DD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D1BA" w14:textId="77777777" w:rsidR="00F12DD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5413"/>
    <w:multiLevelType w:val="hybridMultilevel"/>
    <w:tmpl w:val="6D0A8AC6"/>
    <w:lvl w:ilvl="0" w:tplc="59F8E77C">
      <w:start w:val="1"/>
      <w:numFmt w:val="bullet"/>
      <w:lvlText w:val="-"/>
      <w:lvlJc w:val="left"/>
      <w:pPr>
        <w:tabs>
          <w:tab w:val="num" w:pos="720"/>
        </w:tabs>
        <w:ind w:left="720" w:hanging="360"/>
      </w:pPr>
      <w:rPr>
        <w:rFonts w:ascii="Times New Roman" w:hAnsi="Times New Roman" w:hint="default"/>
      </w:rPr>
    </w:lvl>
    <w:lvl w:ilvl="1" w:tplc="222A2452" w:tentative="1">
      <w:start w:val="1"/>
      <w:numFmt w:val="bullet"/>
      <w:lvlText w:val="-"/>
      <w:lvlJc w:val="left"/>
      <w:pPr>
        <w:tabs>
          <w:tab w:val="num" w:pos="1440"/>
        </w:tabs>
        <w:ind w:left="1440" w:hanging="360"/>
      </w:pPr>
      <w:rPr>
        <w:rFonts w:ascii="Times New Roman" w:hAnsi="Times New Roman" w:hint="default"/>
      </w:rPr>
    </w:lvl>
    <w:lvl w:ilvl="2" w:tplc="DF8467F4" w:tentative="1">
      <w:start w:val="1"/>
      <w:numFmt w:val="bullet"/>
      <w:lvlText w:val="-"/>
      <w:lvlJc w:val="left"/>
      <w:pPr>
        <w:tabs>
          <w:tab w:val="num" w:pos="2160"/>
        </w:tabs>
        <w:ind w:left="2160" w:hanging="360"/>
      </w:pPr>
      <w:rPr>
        <w:rFonts w:ascii="Times New Roman" w:hAnsi="Times New Roman" w:hint="default"/>
      </w:rPr>
    </w:lvl>
    <w:lvl w:ilvl="3" w:tplc="6E38FD3E" w:tentative="1">
      <w:start w:val="1"/>
      <w:numFmt w:val="bullet"/>
      <w:lvlText w:val="-"/>
      <w:lvlJc w:val="left"/>
      <w:pPr>
        <w:tabs>
          <w:tab w:val="num" w:pos="2880"/>
        </w:tabs>
        <w:ind w:left="2880" w:hanging="360"/>
      </w:pPr>
      <w:rPr>
        <w:rFonts w:ascii="Times New Roman" w:hAnsi="Times New Roman" w:hint="default"/>
      </w:rPr>
    </w:lvl>
    <w:lvl w:ilvl="4" w:tplc="01F43E9E" w:tentative="1">
      <w:start w:val="1"/>
      <w:numFmt w:val="bullet"/>
      <w:lvlText w:val="-"/>
      <w:lvlJc w:val="left"/>
      <w:pPr>
        <w:tabs>
          <w:tab w:val="num" w:pos="3600"/>
        </w:tabs>
        <w:ind w:left="3600" w:hanging="360"/>
      </w:pPr>
      <w:rPr>
        <w:rFonts w:ascii="Times New Roman" w:hAnsi="Times New Roman" w:hint="default"/>
      </w:rPr>
    </w:lvl>
    <w:lvl w:ilvl="5" w:tplc="BA3062EE" w:tentative="1">
      <w:start w:val="1"/>
      <w:numFmt w:val="bullet"/>
      <w:lvlText w:val="-"/>
      <w:lvlJc w:val="left"/>
      <w:pPr>
        <w:tabs>
          <w:tab w:val="num" w:pos="4320"/>
        </w:tabs>
        <w:ind w:left="4320" w:hanging="360"/>
      </w:pPr>
      <w:rPr>
        <w:rFonts w:ascii="Times New Roman" w:hAnsi="Times New Roman" w:hint="default"/>
      </w:rPr>
    </w:lvl>
    <w:lvl w:ilvl="6" w:tplc="BA68D5BE" w:tentative="1">
      <w:start w:val="1"/>
      <w:numFmt w:val="bullet"/>
      <w:lvlText w:val="-"/>
      <w:lvlJc w:val="left"/>
      <w:pPr>
        <w:tabs>
          <w:tab w:val="num" w:pos="5040"/>
        </w:tabs>
        <w:ind w:left="5040" w:hanging="360"/>
      </w:pPr>
      <w:rPr>
        <w:rFonts w:ascii="Times New Roman" w:hAnsi="Times New Roman" w:hint="default"/>
      </w:rPr>
    </w:lvl>
    <w:lvl w:ilvl="7" w:tplc="599AD7CC" w:tentative="1">
      <w:start w:val="1"/>
      <w:numFmt w:val="bullet"/>
      <w:lvlText w:val="-"/>
      <w:lvlJc w:val="left"/>
      <w:pPr>
        <w:tabs>
          <w:tab w:val="num" w:pos="5760"/>
        </w:tabs>
        <w:ind w:left="5760" w:hanging="360"/>
      </w:pPr>
      <w:rPr>
        <w:rFonts w:ascii="Times New Roman" w:hAnsi="Times New Roman" w:hint="default"/>
      </w:rPr>
    </w:lvl>
    <w:lvl w:ilvl="8" w:tplc="2E12DBEC" w:tentative="1">
      <w:start w:val="1"/>
      <w:numFmt w:val="bullet"/>
      <w:lvlText w:val="-"/>
      <w:lvlJc w:val="left"/>
      <w:pPr>
        <w:tabs>
          <w:tab w:val="num" w:pos="6480"/>
        </w:tabs>
        <w:ind w:left="6480" w:hanging="360"/>
      </w:pPr>
      <w:rPr>
        <w:rFonts w:ascii="Times New Roman" w:hAnsi="Times New Roman" w:hint="default"/>
      </w:rPr>
    </w:lvl>
  </w:abstractNum>
  <w:num w:numId="1" w16cid:durableId="2083284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E0"/>
    <w:rsid w:val="00002E68"/>
    <w:rsid w:val="00003BEE"/>
    <w:rsid w:val="000079B2"/>
    <w:rsid w:val="00010888"/>
    <w:rsid w:val="0001580B"/>
    <w:rsid w:val="00027341"/>
    <w:rsid w:val="000450FA"/>
    <w:rsid w:val="00051E21"/>
    <w:rsid w:val="0006010B"/>
    <w:rsid w:val="000627E1"/>
    <w:rsid w:val="000630C9"/>
    <w:rsid w:val="00064636"/>
    <w:rsid w:val="000728EB"/>
    <w:rsid w:val="00075AFE"/>
    <w:rsid w:val="000A3442"/>
    <w:rsid w:val="000A5A16"/>
    <w:rsid w:val="000B61DA"/>
    <w:rsid w:val="000C03A5"/>
    <w:rsid w:val="000C30B1"/>
    <w:rsid w:val="000C6387"/>
    <w:rsid w:val="000E627C"/>
    <w:rsid w:val="00103BA3"/>
    <w:rsid w:val="00111D19"/>
    <w:rsid w:val="00140D19"/>
    <w:rsid w:val="00156490"/>
    <w:rsid w:val="00172F23"/>
    <w:rsid w:val="0018010B"/>
    <w:rsid w:val="00180C64"/>
    <w:rsid w:val="00181876"/>
    <w:rsid w:val="00183952"/>
    <w:rsid w:val="0019247B"/>
    <w:rsid w:val="00197E21"/>
    <w:rsid w:val="001B0C84"/>
    <w:rsid w:val="001C6C25"/>
    <w:rsid w:val="001D3778"/>
    <w:rsid w:val="001D4249"/>
    <w:rsid w:val="001D599B"/>
    <w:rsid w:val="001E76DD"/>
    <w:rsid w:val="00222DAE"/>
    <w:rsid w:val="00224BD0"/>
    <w:rsid w:val="00225166"/>
    <w:rsid w:val="00226237"/>
    <w:rsid w:val="00231219"/>
    <w:rsid w:val="00251930"/>
    <w:rsid w:val="00255201"/>
    <w:rsid w:val="00260028"/>
    <w:rsid w:val="00261C2E"/>
    <w:rsid w:val="00263F36"/>
    <w:rsid w:val="00272486"/>
    <w:rsid w:val="0028264A"/>
    <w:rsid w:val="0028758C"/>
    <w:rsid w:val="002B0926"/>
    <w:rsid w:val="002E38D8"/>
    <w:rsid w:val="002E7DBC"/>
    <w:rsid w:val="002F185D"/>
    <w:rsid w:val="003072A4"/>
    <w:rsid w:val="00313D75"/>
    <w:rsid w:val="00333B7C"/>
    <w:rsid w:val="00335C23"/>
    <w:rsid w:val="00343E6D"/>
    <w:rsid w:val="0035103E"/>
    <w:rsid w:val="00352D78"/>
    <w:rsid w:val="00352D95"/>
    <w:rsid w:val="00354CF7"/>
    <w:rsid w:val="003652F3"/>
    <w:rsid w:val="003836A1"/>
    <w:rsid w:val="00394F84"/>
    <w:rsid w:val="00397A70"/>
    <w:rsid w:val="003A7504"/>
    <w:rsid w:val="003B4EE0"/>
    <w:rsid w:val="003C03B7"/>
    <w:rsid w:val="003C5DCA"/>
    <w:rsid w:val="003D575E"/>
    <w:rsid w:val="003F39F9"/>
    <w:rsid w:val="004149BB"/>
    <w:rsid w:val="0043539E"/>
    <w:rsid w:val="004440C4"/>
    <w:rsid w:val="00446CD3"/>
    <w:rsid w:val="00450006"/>
    <w:rsid w:val="00450AC5"/>
    <w:rsid w:val="00483E26"/>
    <w:rsid w:val="0048572F"/>
    <w:rsid w:val="004906FE"/>
    <w:rsid w:val="00492633"/>
    <w:rsid w:val="0049519F"/>
    <w:rsid w:val="004964AB"/>
    <w:rsid w:val="004A67C7"/>
    <w:rsid w:val="004B5D14"/>
    <w:rsid w:val="004C1020"/>
    <w:rsid w:val="004D0A4D"/>
    <w:rsid w:val="004D53AB"/>
    <w:rsid w:val="004F5EE5"/>
    <w:rsid w:val="005011C8"/>
    <w:rsid w:val="00512DBB"/>
    <w:rsid w:val="005135AA"/>
    <w:rsid w:val="005154BF"/>
    <w:rsid w:val="005350BE"/>
    <w:rsid w:val="00542DCF"/>
    <w:rsid w:val="00545242"/>
    <w:rsid w:val="00574C92"/>
    <w:rsid w:val="0059103E"/>
    <w:rsid w:val="005B4E75"/>
    <w:rsid w:val="005D31F3"/>
    <w:rsid w:val="005D46A8"/>
    <w:rsid w:val="005D7F12"/>
    <w:rsid w:val="005E483A"/>
    <w:rsid w:val="005E5AAC"/>
    <w:rsid w:val="005E7B55"/>
    <w:rsid w:val="005F2BCA"/>
    <w:rsid w:val="006008AF"/>
    <w:rsid w:val="00601AA0"/>
    <w:rsid w:val="006025C7"/>
    <w:rsid w:val="006102E5"/>
    <w:rsid w:val="00622514"/>
    <w:rsid w:val="006257EC"/>
    <w:rsid w:val="00630BDA"/>
    <w:rsid w:val="006426CB"/>
    <w:rsid w:val="006461DF"/>
    <w:rsid w:val="00651250"/>
    <w:rsid w:val="00683B1D"/>
    <w:rsid w:val="00687B59"/>
    <w:rsid w:val="00692A64"/>
    <w:rsid w:val="006974C6"/>
    <w:rsid w:val="006A2106"/>
    <w:rsid w:val="006D1421"/>
    <w:rsid w:val="006D46B6"/>
    <w:rsid w:val="006E26C7"/>
    <w:rsid w:val="006E6A39"/>
    <w:rsid w:val="007047CE"/>
    <w:rsid w:val="0074617E"/>
    <w:rsid w:val="00751CF2"/>
    <w:rsid w:val="00755CE5"/>
    <w:rsid w:val="00775BBC"/>
    <w:rsid w:val="007A64B7"/>
    <w:rsid w:val="007B1561"/>
    <w:rsid w:val="007D13CB"/>
    <w:rsid w:val="007D2E03"/>
    <w:rsid w:val="007D6D56"/>
    <w:rsid w:val="007F48EE"/>
    <w:rsid w:val="00802C05"/>
    <w:rsid w:val="00805285"/>
    <w:rsid w:val="00813F3F"/>
    <w:rsid w:val="008522E7"/>
    <w:rsid w:val="00857565"/>
    <w:rsid w:val="008579DE"/>
    <w:rsid w:val="008641C2"/>
    <w:rsid w:val="00867663"/>
    <w:rsid w:val="008720EF"/>
    <w:rsid w:val="008812C2"/>
    <w:rsid w:val="0088276B"/>
    <w:rsid w:val="00884FFA"/>
    <w:rsid w:val="00895592"/>
    <w:rsid w:val="008C02B2"/>
    <w:rsid w:val="008C2136"/>
    <w:rsid w:val="008C54BC"/>
    <w:rsid w:val="008D42F9"/>
    <w:rsid w:val="008E3845"/>
    <w:rsid w:val="008E7BFF"/>
    <w:rsid w:val="008F2D7F"/>
    <w:rsid w:val="008F554D"/>
    <w:rsid w:val="009109B7"/>
    <w:rsid w:val="00916C31"/>
    <w:rsid w:val="00924721"/>
    <w:rsid w:val="00941CB7"/>
    <w:rsid w:val="009427BB"/>
    <w:rsid w:val="00947F41"/>
    <w:rsid w:val="00951113"/>
    <w:rsid w:val="009535D3"/>
    <w:rsid w:val="00956D24"/>
    <w:rsid w:val="0097356D"/>
    <w:rsid w:val="009756E3"/>
    <w:rsid w:val="00991921"/>
    <w:rsid w:val="009B4EE5"/>
    <w:rsid w:val="009D228E"/>
    <w:rsid w:val="009F3D76"/>
    <w:rsid w:val="00A01AE0"/>
    <w:rsid w:val="00A037ED"/>
    <w:rsid w:val="00A0403A"/>
    <w:rsid w:val="00A1389E"/>
    <w:rsid w:val="00A25437"/>
    <w:rsid w:val="00A3360D"/>
    <w:rsid w:val="00A4087F"/>
    <w:rsid w:val="00A778C4"/>
    <w:rsid w:val="00A80663"/>
    <w:rsid w:val="00A91DC3"/>
    <w:rsid w:val="00A9750E"/>
    <w:rsid w:val="00A97EF2"/>
    <w:rsid w:val="00AA3C1E"/>
    <w:rsid w:val="00AC1F3E"/>
    <w:rsid w:val="00AC7504"/>
    <w:rsid w:val="00AE6C3F"/>
    <w:rsid w:val="00B040AE"/>
    <w:rsid w:val="00B141AD"/>
    <w:rsid w:val="00B32E2E"/>
    <w:rsid w:val="00B332F0"/>
    <w:rsid w:val="00B436F0"/>
    <w:rsid w:val="00B4502F"/>
    <w:rsid w:val="00B70C2D"/>
    <w:rsid w:val="00B770D1"/>
    <w:rsid w:val="00B87DED"/>
    <w:rsid w:val="00B92544"/>
    <w:rsid w:val="00B93631"/>
    <w:rsid w:val="00BA2651"/>
    <w:rsid w:val="00BA7587"/>
    <w:rsid w:val="00BB4B96"/>
    <w:rsid w:val="00BC1389"/>
    <w:rsid w:val="00BD56CA"/>
    <w:rsid w:val="00BD7865"/>
    <w:rsid w:val="00BE2413"/>
    <w:rsid w:val="00BE3574"/>
    <w:rsid w:val="00C01BDE"/>
    <w:rsid w:val="00C07947"/>
    <w:rsid w:val="00C164A0"/>
    <w:rsid w:val="00C4130E"/>
    <w:rsid w:val="00C417CB"/>
    <w:rsid w:val="00C45B0D"/>
    <w:rsid w:val="00C478DD"/>
    <w:rsid w:val="00C52045"/>
    <w:rsid w:val="00C54035"/>
    <w:rsid w:val="00C62182"/>
    <w:rsid w:val="00C6434C"/>
    <w:rsid w:val="00C86BF6"/>
    <w:rsid w:val="00CB093F"/>
    <w:rsid w:val="00CB255B"/>
    <w:rsid w:val="00CD1302"/>
    <w:rsid w:val="00D15B75"/>
    <w:rsid w:val="00D3051D"/>
    <w:rsid w:val="00D35E78"/>
    <w:rsid w:val="00D42A57"/>
    <w:rsid w:val="00D44EB9"/>
    <w:rsid w:val="00D463A2"/>
    <w:rsid w:val="00D47888"/>
    <w:rsid w:val="00D520FC"/>
    <w:rsid w:val="00D61622"/>
    <w:rsid w:val="00D64666"/>
    <w:rsid w:val="00D65500"/>
    <w:rsid w:val="00D66849"/>
    <w:rsid w:val="00D7274A"/>
    <w:rsid w:val="00D74C05"/>
    <w:rsid w:val="00D84119"/>
    <w:rsid w:val="00D94B48"/>
    <w:rsid w:val="00DA1635"/>
    <w:rsid w:val="00DA2544"/>
    <w:rsid w:val="00DC3BA8"/>
    <w:rsid w:val="00DD7C40"/>
    <w:rsid w:val="00DE61D7"/>
    <w:rsid w:val="00DE6A61"/>
    <w:rsid w:val="00E008BC"/>
    <w:rsid w:val="00E00AFC"/>
    <w:rsid w:val="00E22F18"/>
    <w:rsid w:val="00E30A62"/>
    <w:rsid w:val="00E37F9F"/>
    <w:rsid w:val="00E518C2"/>
    <w:rsid w:val="00E53BB0"/>
    <w:rsid w:val="00E54C2B"/>
    <w:rsid w:val="00E55289"/>
    <w:rsid w:val="00E6007A"/>
    <w:rsid w:val="00E613C3"/>
    <w:rsid w:val="00E66A78"/>
    <w:rsid w:val="00E81F51"/>
    <w:rsid w:val="00E8600C"/>
    <w:rsid w:val="00ED33D6"/>
    <w:rsid w:val="00F11467"/>
    <w:rsid w:val="00F164A7"/>
    <w:rsid w:val="00F34C7D"/>
    <w:rsid w:val="00F41D21"/>
    <w:rsid w:val="00F5751F"/>
    <w:rsid w:val="00F57CEE"/>
    <w:rsid w:val="00F61547"/>
    <w:rsid w:val="00F75358"/>
    <w:rsid w:val="00F91954"/>
    <w:rsid w:val="00FA044B"/>
    <w:rsid w:val="00FB19B7"/>
    <w:rsid w:val="00FF19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6AE37"/>
  <w15:chartTrackingRefBased/>
  <w15:docId w15:val="{D28D4336-1572-4E2C-83E3-02FC978C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single space,Fußnotentext arial,FOOTNOTES,Footnote Text Char1,Footnote Text Char Char,Footnote text,ADB,ADB Char,single space Char Char,pod carou,Текст сноски-FN,Table_Footnote_last,Текст сноски Знак Зн,footnote,text,A,Fußnotentext Char"/>
    <w:basedOn w:val="Normal"/>
    <w:link w:val="FootnoteTextChar"/>
    <w:unhideWhenUsed/>
    <w:qFormat/>
    <w:rsid w:val="00226237"/>
    <w:pPr>
      <w:spacing w:after="0" w:line="240" w:lineRule="auto"/>
    </w:pPr>
    <w:rPr>
      <w:sz w:val="20"/>
      <w:szCs w:val="20"/>
    </w:rPr>
  </w:style>
  <w:style w:type="character" w:customStyle="1" w:styleId="FootnoteTextChar">
    <w:name w:val="Footnote Text Char"/>
    <w:aliases w:val="fn Char,single space Char,Fußnotentext arial Char,FOOTNOTES Char,Footnote Text Char1 Char,Footnote Text Char Char Char,Footnote text Char,ADB Char1,ADB Char Char,single space Char Char Char,pod carou Char,Текст сноски-FN Char,A Char"/>
    <w:basedOn w:val="DefaultParagraphFont"/>
    <w:link w:val="FootnoteText"/>
    <w:rsid w:val="00226237"/>
    <w:rPr>
      <w:sz w:val="20"/>
      <w:szCs w:val="20"/>
    </w:rPr>
  </w:style>
  <w:style w:type="character" w:styleId="FootnoteReference">
    <w:name w:val="footnote reference"/>
    <w:aliases w:val=" BVI fnr,16 Point,BVI fnr,Ciae niinee-FN,Footnote,Footnote Reference Number,Footnote Reference_LVL6,Footnote Reference_LVL61,Footnote Reference_LVL62,Footnote Reference_LVL63,Superscript 6 Point,fr,ftref,Знак сноски 1,Знак сноски-FN,4"/>
    <w:basedOn w:val="DefaultParagraphFont"/>
    <w:unhideWhenUsed/>
    <w:qFormat/>
    <w:rsid w:val="00226237"/>
    <w:rPr>
      <w:vertAlign w:val="superscript"/>
    </w:rPr>
  </w:style>
  <w:style w:type="paragraph" w:styleId="Header">
    <w:name w:val="header"/>
    <w:basedOn w:val="Normal"/>
    <w:link w:val="HeaderChar"/>
    <w:uiPriority w:val="99"/>
    <w:unhideWhenUsed/>
    <w:rsid w:val="0022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237"/>
  </w:style>
  <w:style w:type="paragraph" w:styleId="Footer">
    <w:name w:val="footer"/>
    <w:basedOn w:val="Normal"/>
    <w:link w:val="FooterChar"/>
    <w:uiPriority w:val="99"/>
    <w:unhideWhenUsed/>
    <w:rsid w:val="0022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237"/>
  </w:style>
  <w:style w:type="character" w:styleId="Hyperlink">
    <w:name w:val="Hyperlink"/>
    <w:basedOn w:val="DefaultParagraphFont"/>
    <w:uiPriority w:val="99"/>
    <w:unhideWhenUsed/>
    <w:rsid w:val="00226237"/>
    <w:rPr>
      <w:color w:val="0563C1" w:themeColor="hyperlink"/>
      <w:u w:val="single"/>
    </w:rPr>
  </w:style>
  <w:style w:type="character" w:styleId="UnresolvedMention">
    <w:name w:val="Unresolved Mention"/>
    <w:basedOn w:val="DefaultParagraphFont"/>
    <w:uiPriority w:val="99"/>
    <w:semiHidden/>
    <w:unhideWhenUsed/>
    <w:rsid w:val="00226237"/>
    <w:rPr>
      <w:color w:val="605E5C"/>
      <w:shd w:val="clear" w:color="auto" w:fill="E1DFDD"/>
    </w:rPr>
  </w:style>
  <w:style w:type="character" w:styleId="CommentReference">
    <w:name w:val="annotation reference"/>
    <w:basedOn w:val="DefaultParagraphFont"/>
    <w:uiPriority w:val="99"/>
    <w:semiHidden/>
    <w:unhideWhenUsed/>
    <w:rsid w:val="009109B7"/>
    <w:rPr>
      <w:sz w:val="16"/>
      <w:szCs w:val="16"/>
    </w:rPr>
  </w:style>
  <w:style w:type="paragraph" w:styleId="CommentText">
    <w:name w:val="annotation text"/>
    <w:basedOn w:val="Normal"/>
    <w:link w:val="CommentTextChar"/>
    <w:uiPriority w:val="99"/>
    <w:semiHidden/>
    <w:unhideWhenUsed/>
    <w:rsid w:val="009109B7"/>
    <w:pPr>
      <w:spacing w:line="240" w:lineRule="auto"/>
    </w:pPr>
    <w:rPr>
      <w:sz w:val="20"/>
      <w:szCs w:val="20"/>
    </w:rPr>
  </w:style>
  <w:style w:type="character" w:customStyle="1" w:styleId="CommentTextChar">
    <w:name w:val="Comment Text Char"/>
    <w:basedOn w:val="DefaultParagraphFont"/>
    <w:link w:val="CommentText"/>
    <w:uiPriority w:val="99"/>
    <w:semiHidden/>
    <w:rsid w:val="009109B7"/>
    <w:rPr>
      <w:sz w:val="20"/>
      <w:szCs w:val="20"/>
    </w:rPr>
  </w:style>
  <w:style w:type="paragraph" w:styleId="CommentSubject">
    <w:name w:val="annotation subject"/>
    <w:basedOn w:val="CommentText"/>
    <w:next w:val="CommentText"/>
    <w:link w:val="CommentSubjectChar"/>
    <w:uiPriority w:val="99"/>
    <w:semiHidden/>
    <w:unhideWhenUsed/>
    <w:rsid w:val="009109B7"/>
    <w:rPr>
      <w:b/>
      <w:bCs/>
    </w:rPr>
  </w:style>
  <w:style w:type="character" w:customStyle="1" w:styleId="CommentSubjectChar">
    <w:name w:val="Comment Subject Char"/>
    <w:basedOn w:val="CommentTextChar"/>
    <w:link w:val="CommentSubject"/>
    <w:uiPriority w:val="99"/>
    <w:semiHidden/>
    <w:rsid w:val="009109B7"/>
    <w:rPr>
      <w:b/>
      <w:bCs/>
      <w:sz w:val="20"/>
      <w:szCs w:val="20"/>
    </w:rPr>
  </w:style>
  <w:style w:type="paragraph" w:styleId="ListParagraph">
    <w:name w:val="List Paragraph"/>
    <w:basedOn w:val="Normal"/>
    <w:uiPriority w:val="34"/>
    <w:qFormat/>
    <w:rsid w:val="009109B7"/>
    <w:pPr>
      <w:spacing w:after="0" w:line="240" w:lineRule="auto"/>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075A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698276">
      <w:bodyDiv w:val="1"/>
      <w:marLeft w:val="0"/>
      <w:marRight w:val="0"/>
      <w:marTop w:val="0"/>
      <w:marBottom w:val="0"/>
      <w:divBdr>
        <w:top w:val="none" w:sz="0" w:space="0" w:color="auto"/>
        <w:left w:val="none" w:sz="0" w:space="0" w:color="auto"/>
        <w:bottom w:val="none" w:sz="0" w:space="0" w:color="auto"/>
        <w:right w:val="none" w:sz="0" w:space="0" w:color="auto"/>
      </w:divBdr>
      <w:divsChild>
        <w:div w:id="106733851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almukhtar@worldbank.org" TargetMode="External"/><Relationship Id="rId4" Type="http://schemas.openxmlformats.org/officeDocument/2006/relationships/settings" Target="settings.xml"/><Relationship Id="rId9" Type="http://schemas.openxmlformats.org/officeDocument/2006/relationships/hyperlink" Target="mailto:gdexter@worldbank.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AED1D-5050-4075-ABFF-11947F95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4</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Zheen Sanan Emin Almukhtar</dc:creator>
  <cp:keywords/>
  <dc:description/>
  <cp:lastModifiedBy>Zheen Sanan Emin Almukhtar</cp:lastModifiedBy>
  <cp:revision>98</cp:revision>
  <dcterms:created xsi:type="dcterms:W3CDTF">2023-01-10T09:43:00Z</dcterms:created>
  <dcterms:modified xsi:type="dcterms:W3CDTF">2023-06-04T20:11:00Z</dcterms:modified>
</cp:coreProperties>
</file>